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C852B5">
        <w:rPr>
          <w:rFonts w:ascii="Arial" w:hAnsi="Arial" w:cs="Arial"/>
          <w:b/>
          <w:bCs/>
          <w:sz w:val="24"/>
          <w:szCs w:val="24"/>
        </w:rPr>
        <w:t>7</w:t>
      </w:r>
      <w:r w:rsidR="003007F7" w:rsidRPr="00C33343">
        <w:rPr>
          <w:rFonts w:ascii="Arial" w:hAnsi="Arial" w:cs="Arial"/>
          <w:b/>
          <w:bCs/>
          <w:sz w:val="28"/>
          <w:szCs w:val="24"/>
        </w:rPr>
        <w:tab/>
      </w:r>
      <w:r w:rsidR="00F73077" w:rsidRPr="00F73077">
        <w:rPr>
          <w:rFonts w:ascii="Arial" w:hAnsi="Arial" w:cs="Arial"/>
          <w:b/>
          <w:bCs/>
          <w:i/>
          <w:sz w:val="28"/>
          <w:szCs w:val="24"/>
        </w:rPr>
        <w:t>S2-2307091</w:t>
      </w:r>
    </w:p>
    <w:p w:rsidR="00463675" w:rsidRPr="000F4E43" w:rsidRDefault="00C852B5" w:rsidP="0074309D">
      <w:pPr>
        <w:pStyle w:val="a3"/>
        <w:pBdr>
          <w:bottom w:val="single" w:sz="4" w:space="1" w:color="auto"/>
        </w:pBdr>
        <w:tabs>
          <w:tab w:val="clear" w:pos="4153"/>
          <w:tab w:val="clear" w:pos="8306"/>
          <w:tab w:val="right" w:pos="9639"/>
        </w:tabs>
        <w:rPr>
          <w:rFonts w:ascii="Arial" w:hAnsi="Arial" w:cs="Arial"/>
          <w:b/>
          <w:bCs/>
          <w:sz w:val="24"/>
          <w:szCs w:val="24"/>
        </w:rPr>
      </w:pPr>
      <w:r w:rsidRPr="00C852B5">
        <w:rPr>
          <w:rFonts w:ascii="Arial" w:eastAsia="Arial Unicode MS" w:hAnsi="Arial" w:cs="Arial"/>
          <w:b/>
          <w:bCs/>
          <w:sz w:val="24"/>
        </w:rPr>
        <w:t>May 22 – 26, 2023, Berlin, DE</w:t>
      </w:r>
      <w:r w:rsidR="0074309D">
        <w:rPr>
          <w:rFonts w:ascii="Arial" w:hAnsi="Arial" w:cs="Arial"/>
          <w:b/>
          <w:bCs/>
          <w:sz w:val="24"/>
          <w:szCs w:val="24"/>
        </w:rPr>
        <w:tab/>
      </w:r>
      <w:r w:rsidR="0084049C">
        <w:rPr>
          <w:rFonts w:ascii="Arial" w:hAnsi="Arial" w:cs="Arial"/>
          <w:b/>
          <w:bCs/>
          <w:color w:val="0000FF"/>
        </w:rPr>
        <w:t>(revision of S2-2</w:t>
      </w:r>
      <w:r w:rsidR="00CB666D">
        <w:rPr>
          <w:rFonts w:ascii="Arial" w:hAnsi="Arial" w:cs="Arial"/>
          <w:b/>
          <w:bCs/>
          <w:color w:val="0000FF"/>
        </w:rPr>
        <w:t>3</w:t>
      </w:r>
      <w:r w:rsidR="0084049C">
        <w:rPr>
          <w:rFonts w:ascii="Arial" w:hAnsi="Arial" w:cs="Arial"/>
          <w:b/>
          <w:bCs/>
          <w:color w:val="0000FF"/>
        </w:rPr>
        <w:t>0</w:t>
      </w:r>
      <w:r w:rsidR="00A96015">
        <w:rPr>
          <w:rFonts w:ascii="Arial" w:hAnsi="Arial" w:cs="Arial"/>
          <w:b/>
          <w:bCs/>
          <w:color w:val="0000FF"/>
        </w:rPr>
        <w:t>4440</w:t>
      </w:r>
      <w:r w:rsidR="0074309D" w:rsidRPr="001C1B1A">
        <w:rPr>
          <w:rFonts w:ascii="Arial" w:hAnsi="Arial" w:cs="Arial"/>
          <w:b/>
          <w:bCs/>
          <w:color w:val="0000FF"/>
        </w:rPr>
        <w:t>)</w:t>
      </w:r>
    </w:p>
    <w:p w:rsidR="00463675" w:rsidRPr="008E0068" w:rsidRDefault="00463675">
      <w:pPr>
        <w:rPr>
          <w:rFonts w:ascii="Arial" w:hAnsi="Arial" w:cs="Arial"/>
        </w:rPr>
      </w:pPr>
    </w:p>
    <w:p w:rsidR="00463675" w:rsidRPr="000F4E43" w:rsidRDefault="00463675" w:rsidP="000F4E43">
      <w:pPr>
        <w:pStyle w:val="af"/>
      </w:pPr>
      <w:r w:rsidRPr="000F4E43">
        <w:t>Title:</w:t>
      </w:r>
      <w:r w:rsidRPr="000F4E43">
        <w:tab/>
      </w:r>
      <w:r w:rsidRPr="000F4E43">
        <w:rPr>
          <w:color w:val="FF0000"/>
        </w:rPr>
        <w:t>[DRAF</w:t>
      </w:r>
      <w:r w:rsidRPr="00BD6962">
        <w:rPr>
          <w:color w:val="FF0000"/>
        </w:rPr>
        <w:t xml:space="preserve">T] </w:t>
      </w:r>
      <w:r w:rsidR="00BD6962" w:rsidRPr="00BD6962">
        <w:rPr>
          <w:color w:val="000000"/>
        </w:rPr>
        <w:t>Reply</w:t>
      </w:r>
      <w:r w:rsidR="00BD6962" w:rsidRPr="00BD6962">
        <w:rPr>
          <w:rFonts w:hint="eastAsia"/>
          <w:color w:val="000000"/>
          <w:lang w:eastAsia="zh-CN"/>
        </w:rPr>
        <w:t>LS</w:t>
      </w:r>
      <w:bookmarkStart w:id="0" w:name="_GoBack"/>
      <w:bookmarkEnd w:id="0"/>
      <w:r w:rsidR="00BD6962" w:rsidRPr="00BD6962">
        <w:rPr>
          <w:color w:val="000000"/>
        </w:rPr>
        <w:t xml:space="preserve"> on API enhancement for GMEC services and AIMLSys services</w:t>
      </w:r>
    </w:p>
    <w:p w:rsidR="00463675" w:rsidRPr="000F4E43" w:rsidRDefault="00463675" w:rsidP="000F4E43">
      <w:pPr>
        <w:pStyle w:val="af"/>
      </w:pPr>
      <w:r w:rsidRPr="000F4E43">
        <w:t>Response to:</w:t>
      </w:r>
      <w:r w:rsidRPr="000F4E43">
        <w:tab/>
      </w:r>
      <w:r w:rsidRPr="00BD6962">
        <w:rPr>
          <w:color w:val="000000"/>
        </w:rPr>
        <w:t>LS (</w:t>
      </w:r>
      <w:r w:rsidR="005D0039" w:rsidRPr="005D0039">
        <w:rPr>
          <w:color w:val="000000"/>
        </w:rPr>
        <w:t>S2-2306275</w:t>
      </w:r>
      <w:r w:rsidR="00BD6962" w:rsidRPr="00BD6962">
        <w:rPr>
          <w:color w:val="000000"/>
        </w:rPr>
        <w:t>/C3-230783</w:t>
      </w:r>
      <w:r w:rsidRPr="00BD6962">
        <w:rPr>
          <w:color w:val="000000"/>
        </w:rPr>
        <w:t xml:space="preserve">) on </w:t>
      </w:r>
      <w:r w:rsidR="00FE736E" w:rsidRPr="00FE736E">
        <w:rPr>
          <w:color w:val="000000"/>
        </w:rPr>
        <w:t>API enhancement for GMEC services and AIMLSys services</w:t>
      </w:r>
      <w:r w:rsidR="00FE736E">
        <w:rPr>
          <w:color w:val="000000"/>
        </w:rPr>
        <w:t xml:space="preserve"> </w:t>
      </w:r>
      <w:r w:rsidRPr="00BD6962">
        <w:rPr>
          <w:color w:val="000000"/>
        </w:rPr>
        <w:t xml:space="preserve">from </w:t>
      </w:r>
      <w:r w:rsidR="00BD6962" w:rsidRPr="00BD6962">
        <w:rPr>
          <w:color w:val="000000"/>
        </w:rPr>
        <w:t>CT3</w:t>
      </w:r>
    </w:p>
    <w:p w:rsidR="00463675" w:rsidRPr="000F4E43" w:rsidRDefault="00463675" w:rsidP="000F4E43">
      <w:pPr>
        <w:pStyle w:val="af"/>
      </w:pPr>
      <w:r w:rsidRPr="000F4E43">
        <w:t>Release:</w:t>
      </w:r>
      <w:r w:rsidRPr="000F4E43">
        <w:tab/>
      </w:r>
      <w:r w:rsidR="00EB55AD" w:rsidRPr="00EB55AD">
        <w:rPr>
          <w:color w:val="000000"/>
        </w:rPr>
        <w:t>Rel-18</w:t>
      </w:r>
    </w:p>
    <w:p w:rsidR="00463675" w:rsidRPr="000F4E43" w:rsidRDefault="00463675" w:rsidP="000F4E43">
      <w:pPr>
        <w:pStyle w:val="af"/>
      </w:pPr>
      <w:r w:rsidRPr="000F4E43">
        <w:t>Work Item:</w:t>
      </w:r>
      <w:r w:rsidRPr="000F4E43">
        <w:tab/>
      </w:r>
      <w:r w:rsidR="00EB55AD" w:rsidRPr="00EB55AD">
        <w:rPr>
          <w:color w:val="000000"/>
        </w:rPr>
        <w:t>GMEC, AIMLSys</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EB55AD" w:rsidRPr="00EB55AD">
        <w:rPr>
          <w:b w:val="0"/>
        </w:rPr>
        <w:t>CT3</w:t>
      </w:r>
    </w:p>
    <w:p w:rsidR="00463675" w:rsidRPr="00FB0D38" w:rsidRDefault="00463675" w:rsidP="000F4E43">
      <w:pPr>
        <w:pStyle w:val="Source"/>
        <w:rPr>
          <w:lang w:val="fr-FR"/>
        </w:rPr>
      </w:pPr>
      <w:r w:rsidRPr="00FB0D38">
        <w:rPr>
          <w:lang w:val="fr-FR"/>
        </w:rPr>
        <w:t>Cc:</w:t>
      </w:r>
      <w:r w:rsidRPr="00FB0D38">
        <w:rPr>
          <w:lang w:val="fr-FR"/>
        </w:rPr>
        <w:tab/>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974131" w:rsidRDefault="00463675" w:rsidP="000F4E43">
      <w:pPr>
        <w:pStyle w:val="Contact"/>
        <w:tabs>
          <w:tab w:val="clear" w:pos="2268"/>
        </w:tabs>
        <w:rPr>
          <w:bCs/>
        </w:rPr>
      </w:pPr>
      <w:r w:rsidRPr="000F4E43">
        <w:t>Name:</w:t>
      </w:r>
      <w:r w:rsidRPr="000F4E43">
        <w:rPr>
          <w:bCs/>
        </w:rPr>
        <w:tab/>
      </w:r>
      <w:r w:rsidR="00974131" w:rsidRPr="00974131">
        <w:rPr>
          <w:b w:val="0"/>
          <w:bCs/>
          <w:lang w:eastAsia="zh-CN"/>
        </w:rPr>
        <w:t>Qianghua Zhu</w:t>
      </w:r>
    </w:p>
    <w:p w:rsidR="00463675" w:rsidRPr="00974131" w:rsidRDefault="00463675" w:rsidP="000F4E43">
      <w:pPr>
        <w:pStyle w:val="Contact"/>
        <w:tabs>
          <w:tab w:val="clear" w:pos="2268"/>
        </w:tabs>
        <w:rPr>
          <w:bCs/>
        </w:rPr>
      </w:pPr>
      <w:r w:rsidRPr="00974131">
        <w:t>Tel. Number:</w:t>
      </w:r>
      <w:r w:rsidRPr="00974131">
        <w:rPr>
          <w:bCs/>
        </w:rPr>
        <w:tab/>
      </w:r>
    </w:p>
    <w:p w:rsidR="00463675" w:rsidRPr="000F4E43" w:rsidRDefault="00463675" w:rsidP="000F4E43">
      <w:pPr>
        <w:pStyle w:val="Contact"/>
        <w:tabs>
          <w:tab w:val="clear" w:pos="2268"/>
        </w:tabs>
        <w:rPr>
          <w:bCs/>
          <w:color w:val="0000FF"/>
        </w:rPr>
      </w:pPr>
      <w:r w:rsidRPr="00974131">
        <w:rPr>
          <w:color w:val="0000FF"/>
        </w:rPr>
        <w:t>E-mail Address:</w:t>
      </w:r>
      <w:r w:rsidRPr="00974131">
        <w:rPr>
          <w:bCs/>
          <w:color w:val="0000FF"/>
        </w:rPr>
        <w:tab/>
      </w:r>
      <w:r w:rsidR="00974131" w:rsidRPr="00974131">
        <w:rPr>
          <w:b w:val="0"/>
          <w:bCs/>
        </w:rPr>
        <w:t>zhuqianghua</w:t>
      </w:r>
      <w:r w:rsidR="00F62570" w:rsidRPr="00974131">
        <w:rPr>
          <w:b w:val="0"/>
          <w:bCs/>
        </w:rPr>
        <w:t xml:space="preserve"> AT </w:t>
      </w:r>
      <w:proofErr w:type="spellStart"/>
      <w:r w:rsidR="00F62570" w:rsidRPr="00974131">
        <w:rPr>
          <w:b w:val="0"/>
          <w:bCs/>
        </w:rPr>
        <w:t>huawei</w:t>
      </w:r>
      <w:proofErr w:type="spellEnd"/>
      <w:r w:rsidR="00F62570" w:rsidRPr="00974131">
        <w:rPr>
          <w:b w:val="0"/>
          <w:bCs/>
        </w:rPr>
        <w:t xml:space="preserve">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f"/>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1159EA">
      <w:pPr>
        <w:rPr>
          <w:rFonts w:ascii="Arial" w:hAnsi="Arial" w:cs="Arial"/>
        </w:rPr>
      </w:pPr>
      <w:r w:rsidRPr="00BA2BCA">
        <w:rPr>
          <w:rFonts w:ascii="Arial" w:hAnsi="Arial" w:cs="Arial"/>
        </w:rPr>
        <w:t>SA</w:t>
      </w:r>
      <w:r>
        <w:rPr>
          <w:rFonts w:ascii="Arial" w:hAnsi="Arial" w:cs="Arial"/>
        </w:rPr>
        <w:t>2</w:t>
      </w:r>
      <w:r w:rsidRPr="00BA2BCA">
        <w:rPr>
          <w:rFonts w:ascii="Arial" w:hAnsi="Arial" w:cs="Arial"/>
        </w:rPr>
        <w:t xml:space="preserve"> would like to thank 5G-ACIA for their LS (</w:t>
      </w:r>
      <w:r w:rsidR="005D0039" w:rsidRPr="005D0039">
        <w:rPr>
          <w:rFonts w:ascii="Arial" w:hAnsi="Arial" w:cs="Arial"/>
        </w:rPr>
        <w:t>S2-230</w:t>
      </w:r>
      <w:r w:rsidR="005D0039" w:rsidRPr="00C21429">
        <w:rPr>
          <w:rFonts w:ascii="Arial" w:hAnsi="Arial" w:cs="Arial"/>
        </w:rPr>
        <w:t>6275</w:t>
      </w:r>
      <w:r w:rsidRPr="00C21429">
        <w:rPr>
          <w:rFonts w:ascii="Arial" w:hAnsi="Arial" w:cs="Arial"/>
        </w:rPr>
        <w:t>/C3-230783) an</w:t>
      </w:r>
      <w:r>
        <w:rPr>
          <w:rFonts w:ascii="Arial" w:hAnsi="Arial" w:cs="Arial"/>
        </w:rPr>
        <w:t>d would like to provide the following reply:</w:t>
      </w:r>
    </w:p>
    <w:p w:rsidR="001159EA" w:rsidRDefault="001159EA">
      <w:pPr>
        <w:rPr>
          <w:rFonts w:ascii="Arial" w:hAnsi="Arial" w:cs="Arial"/>
          <w:i/>
          <w:iCs/>
          <w:color w:val="FF0000"/>
        </w:rPr>
      </w:pPr>
    </w:p>
    <w:p w:rsidR="006E783C" w:rsidRDefault="001159EA" w:rsidP="00F6392F">
      <w:pPr>
        <w:rPr>
          <w:rFonts w:ascii="Arial" w:hAnsi="Arial" w:cs="Arial"/>
          <w:b/>
          <w:bCs/>
        </w:rPr>
      </w:pPr>
      <w:r w:rsidRPr="001159EA">
        <w:rPr>
          <w:rFonts w:ascii="Arial" w:hAnsi="Arial" w:cs="Arial" w:hint="eastAsia"/>
          <w:b/>
        </w:rPr>
        <w:t>C</w:t>
      </w:r>
      <w:r w:rsidRPr="001159EA">
        <w:rPr>
          <w:rFonts w:ascii="Arial" w:hAnsi="Arial" w:cs="Arial"/>
          <w:b/>
        </w:rPr>
        <w:t xml:space="preserve">T3 </w:t>
      </w:r>
      <w:r w:rsidRPr="00031C22">
        <w:rPr>
          <w:rFonts w:ascii="Arial" w:hAnsi="Arial" w:cs="Arial"/>
          <w:b/>
          <w:bCs/>
        </w:rPr>
        <w:t>Question</w:t>
      </w:r>
      <w:r>
        <w:rPr>
          <w:rFonts w:ascii="Arial" w:hAnsi="Arial" w:cs="Arial"/>
          <w:b/>
          <w:bCs/>
        </w:rPr>
        <w:t>s</w:t>
      </w:r>
      <w:r w:rsidRPr="00031C22">
        <w:rPr>
          <w:rFonts w:ascii="Arial" w:hAnsi="Arial" w:cs="Arial"/>
          <w:b/>
          <w:bCs/>
        </w:rPr>
        <w:t>:</w:t>
      </w:r>
      <w:r w:rsidR="00F6392F">
        <w:rPr>
          <w:rFonts w:ascii="Arial" w:hAnsi="Arial" w:cs="Arial"/>
          <w:b/>
          <w:bCs/>
        </w:rPr>
        <w:t xml:space="preserve"> </w:t>
      </w:r>
    </w:p>
    <w:p w:rsidR="006E783C" w:rsidRDefault="006E783C" w:rsidP="006E783C">
      <w:pPr>
        <w:numPr>
          <w:ilvl w:val="0"/>
          <w:numId w:val="15"/>
        </w:numPr>
        <w:overflowPunct w:val="0"/>
        <w:autoSpaceDE w:val="0"/>
        <w:autoSpaceDN w:val="0"/>
        <w:adjustRightInd w:val="0"/>
        <w:spacing w:after="180"/>
        <w:textAlignment w:val="baseline"/>
        <w:rPr>
          <w:rFonts w:ascii="Arial" w:hAnsi="Arial" w:cs="Arial"/>
        </w:rPr>
      </w:pPr>
      <w:bookmarkStart w:id="1" w:name="_Hlk130291391"/>
      <w:r>
        <w:rPr>
          <w:rFonts w:ascii="Arial" w:hAnsi="Arial" w:cs="Arial"/>
        </w:rPr>
        <w:t>W</w:t>
      </w:r>
      <w:r w:rsidRPr="009479E9">
        <w:rPr>
          <w:rFonts w:ascii="Arial" w:hAnsi="Arial" w:cs="Arial"/>
        </w:rPr>
        <w:t>hether SA2 is planning to merge these two APIs into a single one</w:t>
      </w:r>
      <w:r>
        <w:rPr>
          <w:rFonts w:ascii="Arial" w:hAnsi="Arial" w:cs="Arial"/>
        </w:rPr>
        <w:t>?</w:t>
      </w:r>
    </w:p>
    <w:p w:rsidR="006E783C" w:rsidRDefault="006E783C" w:rsidP="006E783C">
      <w:pPr>
        <w:numPr>
          <w:ilvl w:val="0"/>
          <w:numId w:val="15"/>
        </w:numPr>
        <w:overflowPunct w:val="0"/>
        <w:autoSpaceDE w:val="0"/>
        <w:autoSpaceDN w:val="0"/>
        <w:adjustRightInd w:val="0"/>
        <w:spacing w:after="180"/>
        <w:textAlignment w:val="baseline"/>
        <w:rPr>
          <w:rFonts w:ascii="Arial" w:hAnsi="Arial" w:cs="Arial"/>
        </w:rPr>
      </w:pPr>
      <w:r>
        <w:rPr>
          <w:rFonts w:ascii="Arial" w:hAnsi="Arial" w:cs="Arial"/>
        </w:rPr>
        <w:t>What is the common part and/or difference between the Nnef_AFRequestForQoS service API and the Nnef_MultiMemberAFsessionWithQoS service API?</w:t>
      </w:r>
    </w:p>
    <w:bookmarkEnd w:id="1"/>
    <w:p w:rsidR="008E0068" w:rsidRDefault="00F6392F" w:rsidP="008E0068">
      <w:pPr>
        <w:overflowPunct w:val="0"/>
        <w:autoSpaceDE w:val="0"/>
        <w:autoSpaceDN w:val="0"/>
        <w:adjustRightInd w:val="0"/>
        <w:spacing w:after="180"/>
        <w:textAlignment w:val="baseline"/>
        <w:rPr>
          <w:rFonts w:ascii="Arial" w:hAnsi="Arial" w:cs="Arial"/>
          <w:b/>
          <w:lang w:eastAsia="zh-CN"/>
        </w:rPr>
      </w:pPr>
      <w:r w:rsidRPr="00F6392F">
        <w:rPr>
          <w:rFonts w:ascii="Arial" w:hAnsi="Arial" w:cs="Arial" w:hint="eastAsia"/>
          <w:b/>
          <w:lang w:eastAsia="zh-CN"/>
        </w:rPr>
        <w:t>S</w:t>
      </w:r>
      <w:r w:rsidRPr="00F6392F">
        <w:rPr>
          <w:rFonts w:ascii="Arial" w:hAnsi="Arial" w:cs="Arial"/>
          <w:b/>
          <w:lang w:eastAsia="zh-CN"/>
        </w:rPr>
        <w:t xml:space="preserve">A2 reply: </w:t>
      </w:r>
    </w:p>
    <w:p w:rsidR="00861485" w:rsidRDefault="008E0068" w:rsidP="008E0068">
      <w:pPr>
        <w:rPr>
          <w:rFonts w:ascii="Arial" w:hAnsi="Arial" w:cs="Arial"/>
        </w:rPr>
      </w:pPr>
      <w:r w:rsidRPr="008E0068">
        <w:rPr>
          <w:rFonts w:ascii="Arial" w:hAnsi="Arial" w:cs="Arial"/>
        </w:rPr>
        <w:t xml:space="preserve">SA2 has discussed whether to merge </w:t>
      </w:r>
      <w:proofErr w:type="spellStart"/>
      <w:r>
        <w:rPr>
          <w:rFonts w:ascii="Arial" w:hAnsi="Arial" w:cs="Arial"/>
        </w:rPr>
        <w:t>AFRequestForQoS</w:t>
      </w:r>
      <w:proofErr w:type="spellEnd"/>
      <w:r>
        <w:rPr>
          <w:rFonts w:ascii="Arial" w:hAnsi="Arial" w:cs="Arial"/>
        </w:rPr>
        <w:t xml:space="preserve"> service API</w:t>
      </w:r>
      <w:r w:rsidR="00751B6F">
        <w:rPr>
          <w:rFonts w:ascii="Arial" w:hAnsi="Arial" w:cs="Arial"/>
        </w:rPr>
        <w:t xml:space="preserve"> and </w:t>
      </w:r>
      <w:proofErr w:type="spellStart"/>
      <w:r w:rsidR="00751B6F">
        <w:rPr>
          <w:rFonts w:ascii="Arial" w:hAnsi="Arial" w:cs="Arial"/>
        </w:rPr>
        <w:t>MultiMemberAFsessionWithQoS</w:t>
      </w:r>
      <w:proofErr w:type="spellEnd"/>
      <w:r w:rsidR="00751B6F" w:rsidRPr="008E0068">
        <w:rPr>
          <w:rFonts w:ascii="Arial" w:hAnsi="Arial" w:cs="Arial"/>
        </w:rPr>
        <w:t xml:space="preserve"> </w:t>
      </w:r>
      <w:r w:rsidR="00751B6F">
        <w:rPr>
          <w:rFonts w:ascii="Arial" w:hAnsi="Arial" w:cs="Arial"/>
        </w:rPr>
        <w:t>service API, as well as whether to merge</w:t>
      </w:r>
      <w:r w:rsidRPr="008E0068">
        <w:rPr>
          <w:rFonts w:ascii="Arial" w:hAnsi="Arial" w:cs="Arial"/>
        </w:rPr>
        <w:t xml:space="preserve"> with </w:t>
      </w:r>
      <w:r>
        <w:rPr>
          <w:rFonts w:ascii="Arial" w:hAnsi="Arial" w:cs="Arial"/>
        </w:rPr>
        <w:t>other NEF services, e.g.</w:t>
      </w:r>
      <w:r w:rsidRPr="008E0068">
        <w:rPr>
          <w:rFonts w:ascii="Arial" w:hAnsi="Arial" w:cs="Arial"/>
        </w:rPr>
        <w:t xml:space="preserve"> </w:t>
      </w:r>
      <w:proofErr w:type="spellStart"/>
      <w:r w:rsidRPr="008E0068">
        <w:rPr>
          <w:rFonts w:ascii="Arial" w:hAnsi="Arial" w:cs="Arial"/>
        </w:rPr>
        <w:t>AFsesseionWithQoS</w:t>
      </w:r>
      <w:proofErr w:type="spellEnd"/>
      <w:r>
        <w:rPr>
          <w:rFonts w:ascii="Arial" w:hAnsi="Arial" w:cs="Arial"/>
        </w:rPr>
        <w:t xml:space="preserve">, </w:t>
      </w:r>
      <w:proofErr w:type="spellStart"/>
      <w:r w:rsidRPr="008E0068">
        <w:rPr>
          <w:rFonts w:ascii="Arial" w:hAnsi="Arial" w:cs="Arial"/>
        </w:rPr>
        <w:t>ParameterProvision</w:t>
      </w:r>
      <w:proofErr w:type="spellEnd"/>
      <w:r>
        <w:rPr>
          <w:rFonts w:ascii="Arial" w:hAnsi="Arial" w:cs="Arial"/>
        </w:rPr>
        <w:t xml:space="preserve">, </w:t>
      </w:r>
      <w:proofErr w:type="spellStart"/>
      <w:r w:rsidRPr="008E0068">
        <w:rPr>
          <w:rFonts w:ascii="Arial" w:hAnsi="Arial" w:cs="Arial"/>
        </w:rPr>
        <w:t>ServiceParameter</w:t>
      </w:r>
      <w:proofErr w:type="spellEnd"/>
      <w:r>
        <w:rPr>
          <w:rFonts w:ascii="Arial" w:hAnsi="Arial" w:cs="Arial"/>
        </w:rPr>
        <w:t>,</w:t>
      </w:r>
      <w:r w:rsidR="00AE49A7" w:rsidRPr="008E0068">
        <w:rPr>
          <w:rFonts w:ascii="Arial" w:hAnsi="Arial" w:cs="Arial"/>
        </w:rPr>
        <w:t xml:space="preserve"> </w:t>
      </w:r>
      <w:r w:rsidR="00AE49A7">
        <w:rPr>
          <w:rFonts w:ascii="Arial" w:hAnsi="Arial" w:cs="Arial"/>
        </w:rPr>
        <w:t>and</w:t>
      </w:r>
      <w:r>
        <w:rPr>
          <w:rFonts w:ascii="Arial" w:hAnsi="Arial" w:cs="Arial"/>
        </w:rPr>
        <w:t xml:space="preserve"> </w:t>
      </w:r>
      <w:proofErr w:type="spellStart"/>
      <w:r w:rsidRPr="008E0068">
        <w:rPr>
          <w:rFonts w:ascii="Arial" w:hAnsi="Arial" w:cs="Arial"/>
        </w:rPr>
        <w:t>TrafficInfluence</w:t>
      </w:r>
      <w:proofErr w:type="spellEnd"/>
      <w:r w:rsidR="00751B6F">
        <w:rPr>
          <w:rFonts w:ascii="Arial" w:hAnsi="Arial" w:cs="Arial"/>
        </w:rPr>
        <w:t>,</w:t>
      </w:r>
      <w:r w:rsidR="00AE49A7">
        <w:rPr>
          <w:rFonts w:ascii="Arial" w:hAnsi="Arial" w:cs="Arial"/>
        </w:rPr>
        <w:t xml:space="preserve"> </w:t>
      </w:r>
      <w:r w:rsidR="00CD5418">
        <w:rPr>
          <w:rFonts w:ascii="Arial" w:hAnsi="Arial" w:cs="Arial"/>
        </w:rPr>
        <w:t xml:space="preserve">and </w:t>
      </w:r>
      <w:r w:rsidR="00740046" w:rsidRPr="00740046">
        <w:rPr>
          <w:rFonts w:ascii="Arial" w:hAnsi="Arial" w:cs="Arial"/>
        </w:rPr>
        <w:t>SA2 agrees to</w:t>
      </w:r>
      <w:r w:rsidR="00740046">
        <w:rPr>
          <w:rFonts w:ascii="Arial" w:hAnsi="Arial" w:cs="Arial"/>
        </w:rPr>
        <w:t xml:space="preserve"> keep</w:t>
      </w:r>
      <w:r w:rsidR="00740046" w:rsidRPr="00740046">
        <w:rPr>
          <w:rFonts w:ascii="Arial" w:hAnsi="Arial" w:cs="Arial"/>
        </w:rPr>
        <w:t xml:space="preserve"> GMEC </w:t>
      </w:r>
      <w:proofErr w:type="spellStart"/>
      <w:r w:rsidR="00740046">
        <w:rPr>
          <w:rFonts w:ascii="Arial" w:hAnsi="Arial" w:cs="Arial"/>
        </w:rPr>
        <w:t>AFRequestForQoS</w:t>
      </w:r>
      <w:proofErr w:type="spellEnd"/>
      <w:r w:rsidR="00740046">
        <w:rPr>
          <w:rFonts w:ascii="Arial" w:hAnsi="Arial" w:cs="Arial"/>
        </w:rPr>
        <w:t xml:space="preserve"> service API</w:t>
      </w:r>
      <w:r w:rsidR="00740046" w:rsidRPr="00740046">
        <w:rPr>
          <w:rFonts w:ascii="Arial" w:hAnsi="Arial" w:cs="Arial"/>
        </w:rPr>
        <w:t xml:space="preserve"> </w:t>
      </w:r>
      <w:r w:rsidR="00751B6F">
        <w:rPr>
          <w:rFonts w:ascii="Arial" w:hAnsi="Arial" w:cs="Arial"/>
        </w:rPr>
        <w:t xml:space="preserve">and </w:t>
      </w:r>
      <w:proofErr w:type="spellStart"/>
      <w:r w:rsidR="00751B6F">
        <w:rPr>
          <w:rFonts w:ascii="Arial" w:hAnsi="Arial" w:cs="Arial"/>
        </w:rPr>
        <w:t>AIMLsys</w:t>
      </w:r>
      <w:proofErr w:type="spellEnd"/>
      <w:r w:rsidR="00751B6F">
        <w:rPr>
          <w:rFonts w:ascii="Arial" w:hAnsi="Arial" w:cs="Arial"/>
        </w:rPr>
        <w:t xml:space="preserve"> </w:t>
      </w:r>
      <w:proofErr w:type="spellStart"/>
      <w:r w:rsidR="00751B6F">
        <w:rPr>
          <w:rFonts w:ascii="Arial" w:hAnsi="Arial" w:cs="Arial"/>
        </w:rPr>
        <w:t>MultiMemberAFsessionWithQoS</w:t>
      </w:r>
      <w:proofErr w:type="spellEnd"/>
      <w:r w:rsidR="00751B6F">
        <w:rPr>
          <w:rFonts w:ascii="Arial" w:hAnsi="Arial" w:cs="Arial"/>
        </w:rPr>
        <w:t xml:space="preserve"> service API</w:t>
      </w:r>
      <w:r w:rsidR="00751B6F" w:rsidRPr="00740046">
        <w:rPr>
          <w:rFonts w:ascii="Arial" w:hAnsi="Arial" w:cs="Arial"/>
        </w:rPr>
        <w:t xml:space="preserve"> </w:t>
      </w:r>
      <w:r w:rsidR="00740046">
        <w:rPr>
          <w:rFonts w:ascii="Arial" w:hAnsi="Arial" w:cs="Arial"/>
        </w:rPr>
        <w:t>separate</w:t>
      </w:r>
      <w:r w:rsidR="00CD5418">
        <w:rPr>
          <w:rFonts w:ascii="Arial" w:hAnsi="Arial" w:cs="Arial"/>
        </w:rPr>
        <w:t xml:space="preserve"> given the comparison summarized in the below table</w:t>
      </w:r>
      <w:r w:rsidR="00861485">
        <w:rPr>
          <w:rFonts w:ascii="Arial" w:hAnsi="Arial" w:cs="Arial"/>
        </w:rPr>
        <w:t xml:space="preserve">. </w:t>
      </w:r>
      <w:r w:rsidR="00861485" w:rsidRPr="00861485">
        <w:rPr>
          <w:rFonts w:ascii="Arial" w:hAnsi="Arial" w:cs="Arial"/>
        </w:rPr>
        <w:t xml:space="preserve">SA2 would </w:t>
      </w:r>
      <w:r w:rsidR="008410A0">
        <w:rPr>
          <w:rFonts w:ascii="Arial" w:hAnsi="Arial" w:cs="Arial"/>
        </w:rPr>
        <w:t xml:space="preserve">also </w:t>
      </w:r>
      <w:r w:rsidR="00861485" w:rsidRPr="00861485">
        <w:rPr>
          <w:rFonts w:ascii="Arial" w:hAnsi="Arial" w:cs="Arial"/>
        </w:rPr>
        <w:t>like to ask CT3 to provide the identified technical concerns to specify separate API</w:t>
      </w:r>
      <w:r w:rsidR="002B4872">
        <w:rPr>
          <w:rFonts w:ascii="Arial" w:hAnsi="Arial" w:cs="Arial"/>
        </w:rPr>
        <w:t>s</w:t>
      </w:r>
      <w:r w:rsidR="00AE49A7">
        <w:rPr>
          <w:rFonts w:ascii="Arial" w:hAnsi="Arial" w:cs="Arial" w:hint="eastAsia"/>
        </w:rPr>
        <w:t>,</w:t>
      </w:r>
      <w:r w:rsidR="00AE49A7">
        <w:rPr>
          <w:rFonts w:ascii="Arial" w:hAnsi="Arial" w:cs="Arial"/>
        </w:rPr>
        <w:t xml:space="preserve"> if any</w:t>
      </w:r>
      <w:r w:rsidR="00861485">
        <w:rPr>
          <w:rFonts w:ascii="Arial" w:hAnsi="Arial" w:cs="Arial"/>
        </w:rPr>
        <w:t>.</w:t>
      </w:r>
    </w:p>
    <w:p w:rsidR="00861485" w:rsidRPr="00AE49A7" w:rsidRDefault="00861485" w:rsidP="008E0068">
      <w:pPr>
        <w:rPr>
          <w:rFonts w:ascii="Arial" w:hAnsi="Arial" w:cs="Arial"/>
        </w:rPr>
      </w:pPr>
    </w:p>
    <w:p w:rsidR="008E0068" w:rsidRDefault="00861485" w:rsidP="008E0068">
      <w:pPr>
        <w:rPr>
          <w:rFonts w:ascii="Arial" w:hAnsi="Arial" w:cs="Arial"/>
        </w:rPr>
      </w:pPr>
      <w:r>
        <w:rPr>
          <w:rFonts w:ascii="Arial" w:hAnsi="Arial" w:cs="Arial"/>
        </w:rPr>
        <w:t>The table below shows the summary of comparison:</w:t>
      </w:r>
    </w:p>
    <w:tbl>
      <w:tblPr>
        <w:tblW w:w="5000" w:type="pct"/>
        <w:tblCellMar>
          <w:left w:w="0" w:type="dxa"/>
          <w:right w:w="0" w:type="dxa"/>
        </w:tblCellMar>
        <w:tblLook w:val="04A0" w:firstRow="1" w:lastRow="0" w:firstColumn="1" w:lastColumn="0" w:noHBand="0" w:noVBand="1"/>
      </w:tblPr>
      <w:tblGrid>
        <w:gridCol w:w="1132"/>
        <w:gridCol w:w="1311"/>
        <w:gridCol w:w="2077"/>
        <w:gridCol w:w="1354"/>
        <w:gridCol w:w="1347"/>
        <w:gridCol w:w="1297"/>
        <w:gridCol w:w="1111"/>
      </w:tblGrid>
      <w:tr w:rsidR="00DC32F1" w:rsidRPr="004A1419" w:rsidTr="00DC32F1">
        <w:trPr>
          <w:trHeight w:val="229"/>
        </w:trPr>
        <w:tc>
          <w:tcPr>
            <w:tcW w:w="522" w:type="pct"/>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 </w:t>
            </w:r>
          </w:p>
        </w:tc>
        <w:tc>
          <w:tcPr>
            <w:tcW w:w="15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Separate NEF Service</w:t>
            </w:r>
          </w:p>
        </w:tc>
        <w:tc>
          <w:tcPr>
            <w:tcW w:w="2904"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Common NEF service</w:t>
            </w:r>
          </w:p>
        </w:tc>
      </w:tr>
      <w:tr w:rsidR="00DC32F1" w:rsidRPr="004A1419" w:rsidTr="00DC32F1">
        <w:trPr>
          <w:trHeight w:val="457"/>
        </w:trPr>
        <w:tc>
          <w:tcPr>
            <w:tcW w:w="522" w:type="pct"/>
            <w:tcBorders>
              <w:top w:val="single" w:sz="8" w:space="0" w:color="000000"/>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p>
        </w:tc>
        <w:tc>
          <w:tcPr>
            <w:tcW w:w="727" w:type="pct"/>
            <w:tcBorders>
              <w:top w:val="single" w:sz="8" w:space="0" w:color="000000"/>
              <w:left w:val="single" w:sz="8" w:space="0" w:color="000000"/>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proofErr w:type="spellStart"/>
            <w:r w:rsidRPr="004A1419">
              <w:rPr>
                <w:rFonts w:ascii="Arial" w:hAnsi="Arial" w:cs="Arial"/>
                <w:sz w:val="18"/>
              </w:rPr>
              <w:t>AFRequestForQoS</w:t>
            </w:r>
            <w:proofErr w:type="spellEnd"/>
          </w:p>
        </w:tc>
        <w:tc>
          <w:tcPr>
            <w:tcW w:w="847" w:type="pct"/>
            <w:tcBorders>
              <w:top w:val="single" w:sz="8" w:space="0" w:color="000000"/>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proofErr w:type="spellStart"/>
            <w:r w:rsidRPr="004A1419">
              <w:rPr>
                <w:rFonts w:ascii="Arial" w:hAnsi="Arial" w:cs="Arial"/>
                <w:sz w:val="18"/>
              </w:rPr>
              <w:t>MultiMemberAFsessionWithQoS</w:t>
            </w:r>
            <w:proofErr w:type="spellEnd"/>
          </w:p>
        </w:tc>
        <w:tc>
          <w:tcPr>
            <w:tcW w:w="729" w:type="pct"/>
            <w:tcBorders>
              <w:top w:val="single" w:sz="8" w:space="0" w:color="000000"/>
              <w:left w:val="single" w:sz="8" w:space="0" w:color="000000"/>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proofErr w:type="spellStart"/>
            <w:r w:rsidRPr="004A1419">
              <w:rPr>
                <w:rFonts w:ascii="Arial" w:hAnsi="Arial" w:cs="Arial"/>
                <w:sz w:val="18"/>
              </w:rPr>
              <w:t>AFSessionWithQoS</w:t>
            </w:r>
            <w:proofErr w:type="spellEnd"/>
          </w:p>
        </w:tc>
        <w:tc>
          <w:tcPr>
            <w:tcW w:w="729" w:type="pct"/>
            <w:tcBorders>
              <w:top w:val="single" w:sz="8" w:space="0" w:color="000000"/>
              <w:left w:val="nil"/>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proofErr w:type="spellStart"/>
            <w:r w:rsidRPr="004A1419">
              <w:rPr>
                <w:rFonts w:ascii="Arial" w:hAnsi="Arial" w:cs="Arial"/>
                <w:sz w:val="18"/>
              </w:rPr>
              <w:t>ParameterProvision</w:t>
            </w:r>
            <w:proofErr w:type="spellEnd"/>
          </w:p>
        </w:tc>
        <w:tc>
          <w:tcPr>
            <w:tcW w:w="727" w:type="pct"/>
            <w:tcBorders>
              <w:top w:val="single" w:sz="8" w:space="0" w:color="000000"/>
              <w:left w:val="nil"/>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proofErr w:type="spellStart"/>
            <w:r w:rsidRPr="004A1419">
              <w:rPr>
                <w:rFonts w:ascii="Arial" w:hAnsi="Arial" w:cs="Arial"/>
                <w:sz w:val="18"/>
              </w:rPr>
              <w:t>ServiceParameter</w:t>
            </w:r>
            <w:proofErr w:type="spellEnd"/>
          </w:p>
        </w:tc>
        <w:tc>
          <w:tcPr>
            <w:tcW w:w="720" w:type="pct"/>
            <w:tcBorders>
              <w:top w:val="single" w:sz="8" w:space="0" w:color="000000"/>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proofErr w:type="spellStart"/>
            <w:r w:rsidRPr="004A1419">
              <w:rPr>
                <w:rFonts w:ascii="Arial" w:hAnsi="Arial" w:cs="Arial"/>
                <w:sz w:val="18"/>
              </w:rPr>
              <w:t>TrafficInfluence</w:t>
            </w:r>
            <w:proofErr w:type="spellEnd"/>
          </w:p>
        </w:tc>
      </w:tr>
      <w:tr w:rsidR="00DC32F1" w:rsidRPr="004A1419" w:rsidTr="00DC32F1">
        <w:trPr>
          <w:trHeight w:val="419"/>
        </w:trPr>
        <w:tc>
          <w:tcPr>
            <w:tcW w:w="522"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Target UE</w:t>
            </w:r>
          </w:p>
        </w:tc>
        <w:tc>
          <w:tcPr>
            <w:tcW w:w="727"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Group ID or GPSI</w:t>
            </w:r>
          </w:p>
        </w:tc>
        <w:tc>
          <w:tcPr>
            <w:tcW w:w="847"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list of UE IP addresses</w:t>
            </w:r>
          </w:p>
        </w:tc>
        <w:tc>
          <w:tcPr>
            <w:tcW w:w="729"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UE address</w:t>
            </w:r>
          </w:p>
        </w:tc>
        <w:tc>
          <w:tcPr>
            <w:tcW w:w="729"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UE address, GPSI, Group ID</w:t>
            </w:r>
          </w:p>
        </w:tc>
        <w:tc>
          <w:tcPr>
            <w:tcW w:w="727"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UE address, GPSI, Group ID</w:t>
            </w:r>
          </w:p>
        </w:tc>
        <w:tc>
          <w:tcPr>
            <w:tcW w:w="720"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UE address, GPSI, Group ID, any UE</w:t>
            </w:r>
          </w:p>
        </w:tc>
      </w:tr>
      <w:tr w:rsidR="00DC32F1" w:rsidRPr="004A1419" w:rsidTr="00DC32F1">
        <w:trPr>
          <w:trHeight w:val="457"/>
        </w:trPr>
        <w:tc>
          <w:tcPr>
            <w:tcW w:w="522"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 xml:space="preserve">Support Future </w:t>
            </w:r>
            <w:r w:rsidRPr="004A1419">
              <w:rPr>
                <w:rFonts w:ascii="Arial" w:hAnsi="Arial" w:cs="Arial"/>
                <w:b/>
                <w:bCs/>
                <w:sz w:val="18"/>
              </w:rPr>
              <w:lastRenderedPageBreak/>
              <w:t>PDU Session</w:t>
            </w:r>
          </w:p>
        </w:tc>
        <w:tc>
          <w:tcPr>
            <w:tcW w:w="727" w:type="pct"/>
            <w:tcBorders>
              <w:top w:val="nil"/>
              <w:left w:val="single" w:sz="8" w:space="0" w:color="000000"/>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lastRenderedPageBreak/>
              <w:t>Yes</w:t>
            </w:r>
          </w:p>
        </w:tc>
        <w:tc>
          <w:tcPr>
            <w:tcW w:w="847"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No</w:t>
            </w:r>
          </w:p>
        </w:tc>
        <w:tc>
          <w:tcPr>
            <w:tcW w:w="729" w:type="pct"/>
            <w:tcBorders>
              <w:top w:val="nil"/>
              <w:left w:val="single" w:sz="8" w:space="0" w:color="000000"/>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No</w:t>
            </w:r>
          </w:p>
        </w:tc>
        <w:tc>
          <w:tcPr>
            <w:tcW w:w="729" w:type="pct"/>
            <w:tcBorders>
              <w:top w:val="nil"/>
              <w:left w:val="nil"/>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Yes</w:t>
            </w:r>
          </w:p>
        </w:tc>
        <w:tc>
          <w:tcPr>
            <w:tcW w:w="727" w:type="pct"/>
            <w:tcBorders>
              <w:top w:val="nil"/>
              <w:left w:val="nil"/>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Yes</w:t>
            </w:r>
          </w:p>
        </w:tc>
        <w:tc>
          <w:tcPr>
            <w:tcW w:w="720"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Yes</w:t>
            </w:r>
          </w:p>
        </w:tc>
      </w:tr>
      <w:tr w:rsidR="00DC32F1" w:rsidRPr="004A1419" w:rsidTr="00DC32F1">
        <w:trPr>
          <w:trHeight w:val="457"/>
        </w:trPr>
        <w:tc>
          <w:tcPr>
            <w:tcW w:w="522"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Multiple memberships?</w:t>
            </w:r>
          </w:p>
        </w:tc>
        <w:tc>
          <w:tcPr>
            <w:tcW w:w="727"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Yes (one per PDU Session)</w:t>
            </w:r>
          </w:p>
        </w:tc>
        <w:tc>
          <w:tcPr>
            <w:tcW w:w="847"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Yes (multiple per PDU Session)</w:t>
            </w:r>
          </w:p>
        </w:tc>
        <w:tc>
          <w:tcPr>
            <w:tcW w:w="729"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No</w:t>
            </w:r>
          </w:p>
        </w:tc>
        <w:tc>
          <w:tcPr>
            <w:tcW w:w="729"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Yes</w:t>
            </w:r>
          </w:p>
        </w:tc>
        <w:tc>
          <w:tcPr>
            <w:tcW w:w="727"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Yes</w:t>
            </w:r>
          </w:p>
        </w:tc>
        <w:tc>
          <w:tcPr>
            <w:tcW w:w="720"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Yes</w:t>
            </w:r>
          </w:p>
        </w:tc>
      </w:tr>
      <w:tr w:rsidR="00DC32F1" w:rsidRPr="004A1419" w:rsidTr="00DC32F1">
        <w:trPr>
          <w:trHeight w:val="419"/>
        </w:trPr>
        <w:tc>
          <w:tcPr>
            <w:tcW w:w="522"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Area/scope</w:t>
            </w:r>
          </w:p>
        </w:tc>
        <w:tc>
          <w:tcPr>
            <w:tcW w:w="727" w:type="pct"/>
            <w:tcBorders>
              <w:top w:val="nil"/>
              <w:left w:val="single" w:sz="8" w:space="0" w:color="000000"/>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Regional area/factory</w:t>
            </w:r>
          </w:p>
        </w:tc>
        <w:tc>
          <w:tcPr>
            <w:tcW w:w="847"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Whole PLMN</w:t>
            </w:r>
          </w:p>
        </w:tc>
        <w:tc>
          <w:tcPr>
            <w:tcW w:w="729" w:type="pct"/>
            <w:tcBorders>
              <w:top w:val="nil"/>
              <w:left w:val="single" w:sz="8" w:space="0" w:color="000000"/>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Whole PLMN</w:t>
            </w:r>
          </w:p>
        </w:tc>
        <w:tc>
          <w:tcPr>
            <w:tcW w:w="729" w:type="pct"/>
            <w:tcBorders>
              <w:top w:val="nil"/>
              <w:left w:val="nil"/>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Regional area/factory/Whole PLMN</w:t>
            </w:r>
          </w:p>
        </w:tc>
        <w:tc>
          <w:tcPr>
            <w:tcW w:w="727" w:type="pct"/>
            <w:tcBorders>
              <w:top w:val="nil"/>
              <w:left w:val="nil"/>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Regional area/factory/Whole PLMN</w:t>
            </w:r>
          </w:p>
        </w:tc>
        <w:tc>
          <w:tcPr>
            <w:tcW w:w="720"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Regional area/factory</w:t>
            </w:r>
          </w:p>
        </w:tc>
      </w:tr>
      <w:tr w:rsidR="00DC32F1" w:rsidRPr="004A1419" w:rsidTr="00DC32F1">
        <w:trPr>
          <w:trHeight w:val="457"/>
        </w:trPr>
        <w:tc>
          <w:tcPr>
            <w:tcW w:w="522"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Procedure dependency</w:t>
            </w:r>
          </w:p>
        </w:tc>
        <w:tc>
          <w:tcPr>
            <w:tcW w:w="727"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TSCTSF required</w:t>
            </w:r>
          </w:p>
        </w:tc>
        <w:tc>
          <w:tcPr>
            <w:tcW w:w="847"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None</w:t>
            </w:r>
          </w:p>
        </w:tc>
        <w:tc>
          <w:tcPr>
            <w:tcW w:w="729"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TSCTSF required, depends</w:t>
            </w:r>
          </w:p>
        </w:tc>
        <w:tc>
          <w:tcPr>
            <w:tcW w:w="729"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Yes, depends</w:t>
            </w:r>
          </w:p>
        </w:tc>
        <w:tc>
          <w:tcPr>
            <w:tcW w:w="727"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UDR required</w:t>
            </w:r>
          </w:p>
        </w:tc>
        <w:tc>
          <w:tcPr>
            <w:tcW w:w="720"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UDR required</w:t>
            </w:r>
          </w:p>
        </w:tc>
      </w:tr>
      <w:tr w:rsidR="00DC32F1" w:rsidRPr="004A1419" w:rsidTr="00DC32F1">
        <w:trPr>
          <w:trHeight w:val="229"/>
        </w:trPr>
        <w:tc>
          <w:tcPr>
            <w:tcW w:w="522"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Group control</w:t>
            </w:r>
          </w:p>
        </w:tc>
        <w:tc>
          <w:tcPr>
            <w:tcW w:w="727" w:type="pct"/>
            <w:tcBorders>
              <w:top w:val="nil"/>
              <w:left w:val="single" w:sz="8" w:space="0" w:color="000000"/>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TSCTSF or PCF</w:t>
            </w:r>
          </w:p>
        </w:tc>
        <w:tc>
          <w:tcPr>
            <w:tcW w:w="847"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NEF</w:t>
            </w:r>
          </w:p>
        </w:tc>
        <w:tc>
          <w:tcPr>
            <w:tcW w:w="729" w:type="pct"/>
            <w:tcBorders>
              <w:top w:val="nil"/>
              <w:left w:val="single" w:sz="8" w:space="0" w:color="000000"/>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None</w:t>
            </w:r>
          </w:p>
        </w:tc>
        <w:tc>
          <w:tcPr>
            <w:tcW w:w="729" w:type="pct"/>
            <w:tcBorders>
              <w:top w:val="nil"/>
              <w:left w:val="nil"/>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UDM</w:t>
            </w:r>
          </w:p>
        </w:tc>
        <w:tc>
          <w:tcPr>
            <w:tcW w:w="727" w:type="pct"/>
            <w:tcBorders>
              <w:top w:val="nil"/>
              <w:left w:val="nil"/>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UDR</w:t>
            </w:r>
          </w:p>
        </w:tc>
        <w:tc>
          <w:tcPr>
            <w:tcW w:w="720"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UDR</w:t>
            </w:r>
          </w:p>
        </w:tc>
      </w:tr>
      <w:tr w:rsidR="00DC32F1" w:rsidRPr="004A1419" w:rsidTr="00DC32F1">
        <w:trPr>
          <w:trHeight w:val="229"/>
        </w:trPr>
        <w:tc>
          <w:tcPr>
            <w:tcW w:w="522"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QoS type</w:t>
            </w:r>
          </w:p>
        </w:tc>
        <w:tc>
          <w:tcPr>
            <w:tcW w:w="727"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 xml:space="preserve">Both GBR and non-GBR </w:t>
            </w:r>
          </w:p>
        </w:tc>
        <w:tc>
          <w:tcPr>
            <w:tcW w:w="847"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Individual GBR QoS</w:t>
            </w:r>
          </w:p>
        </w:tc>
        <w:tc>
          <w:tcPr>
            <w:tcW w:w="729"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Both GBR and non-GBR</w:t>
            </w:r>
          </w:p>
        </w:tc>
        <w:tc>
          <w:tcPr>
            <w:tcW w:w="729"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None</w:t>
            </w:r>
          </w:p>
        </w:tc>
        <w:tc>
          <w:tcPr>
            <w:tcW w:w="727"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None</w:t>
            </w:r>
          </w:p>
        </w:tc>
        <w:tc>
          <w:tcPr>
            <w:tcW w:w="720"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None</w:t>
            </w:r>
          </w:p>
        </w:tc>
      </w:tr>
      <w:tr w:rsidR="00DC32F1" w:rsidRPr="004A1419" w:rsidTr="00DC32F1">
        <w:trPr>
          <w:trHeight w:val="629"/>
        </w:trPr>
        <w:tc>
          <w:tcPr>
            <w:tcW w:w="522"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Flow description</w:t>
            </w:r>
          </w:p>
        </w:tc>
        <w:tc>
          <w:tcPr>
            <w:tcW w:w="727" w:type="pct"/>
            <w:tcBorders>
              <w:top w:val="nil"/>
              <w:left w:val="single" w:sz="8" w:space="0" w:color="000000"/>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 xml:space="preserve">Communication </w:t>
            </w:r>
            <w:r w:rsidRPr="004A1419">
              <w:rPr>
                <w:rFonts w:ascii="Arial" w:hAnsi="Arial" w:cs="Arial"/>
                <w:b/>
                <w:bCs/>
                <w:sz w:val="18"/>
              </w:rPr>
              <w:t>between UEs</w:t>
            </w:r>
            <w:r w:rsidRPr="004A1419">
              <w:rPr>
                <w:rFonts w:ascii="Arial" w:hAnsi="Arial" w:cs="Arial"/>
                <w:sz w:val="18"/>
              </w:rPr>
              <w:t xml:space="preserve"> or between UE and DN, </w:t>
            </w:r>
            <w:r w:rsidRPr="004A1419">
              <w:rPr>
                <w:rFonts w:ascii="Arial" w:hAnsi="Arial" w:cs="Arial"/>
                <w:b/>
                <w:bCs/>
                <w:sz w:val="18"/>
              </w:rPr>
              <w:t>3 tuples</w:t>
            </w:r>
          </w:p>
        </w:tc>
        <w:tc>
          <w:tcPr>
            <w:tcW w:w="847"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Communication only between UE and DN, 5 tuples</w:t>
            </w:r>
          </w:p>
        </w:tc>
        <w:tc>
          <w:tcPr>
            <w:tcW w:w="729" w:type="pct"/>
            <w:tcBorders>
              <w:top w:val="nil"/>
              <w:left w:val="single" w:sz="8" w:space="0" w:color="000000"/>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Communication only between UE and DN, 5 tuples</w:t>
            </w:r>
          </w:p>
        </w:tc>
        <w:tc>
          <w:tcPr>
            <w:tcW w:w="729" w:type="pct"/>
            <w:tcBorders>
              <w:top w:val="nil"/>
              <w:left w:val="nil"/>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None</w:t>
            </w:r>
          </w:p>
        </w:tc>
        <w:tc>
          <w:tcPr>
            <w:tcW w:w="727" w:type="pct"/>
            <w:tcBorders>
              <w:top w:val="nil"/>
              <w:left w:val="nil"/>
              <w:bottom w:val="nil"/>
              <w:right w:val="nil"/>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None</w:t>
            </w:r>
          </w:p>
        </w:tc>
        <w:tc>
          <w:tcPr>
            <w:tcW w:w="720"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Communication only between UE and DN, 5 tuples</w:t>
            </w:r>
          </w:p>
        </w:tc>
      </w:tr>
      <w:tr w:rsidR="00DC32F1" w:rsidRPr="004A1419" w:rsidTr="00DC32F1">
        <w:trPr>
          <w:trHeight w:val="629"/>
        </w:trPr>
        <w:tc>
          <w:tcPr>
            <w:tcW w:w="522"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Update frequency</w:t>
            </w:r>
          </w:p>
        </w:tc>
        <w:tc>
          <w:tcPr>
            <w:tcW w:w="727"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rare</w:t>
            </w:r>
          </w:p>
        </w:tc>
        <w:tc>
          <w:tcPr>
            <w:tcW w:w="847"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Frequent (wrt. current members, QoS, monitoring)</w:t>
            </w:r>
          </w:p>
        </w:tc>
        <w:tc>
          <w:tcPr>
            <w:tcW w:w="729"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Frequent (wrt. QoS, monitoring)</w:t>
            </w:r>
          </w:p>
        </w:tc>
        <w:tc>
          <w:tcPr>
            <w:tcW w:w="729"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rare</w:t>
            </w:r>
          </w:p>
        </w:tc>
        <w:tc>
          <w:tcPr>
            <w:tcW w:w="727"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rare</w:t>
            </w:r>
          </w:p>
        </w:tc>
        <w:tc>
          <w:tcPr>
            <w:tcW w:w="720"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Frequent (wrt. Traffic routing)</w:t>
            </w:r>
          </w:p>
        </w:tc>
      </w:tr>
      <w:tr w:rsidR="00DC32F1" w:rsidRPr="004A1419" w:rsidTr="00DC32F1">
        <w:trPr>
          <w:trHeight w:val="325"/>
        </w:trPr>
        <w:tc>
          <w:tcPr>
            <w:tcW w:w="522" w:type="pct"/>
            <w:tcBorders>
              <w:top w:val="nil"/>
              <w:left w:val="nil"/>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commonalities</w:t>
            </w:r>
          </w:p>
        </w:tc>
        <w:tc>
          <w:tcPr>
            <w:tcW w:w="4478" w:type="pct"/>
            <w:gridSpan w:val="6"/>
            <w:tcBorders>
              <w:top w:val="nil"/>
              <w:left w:val="single" w:sz="8" w:space="0" w:color="000000"/>
              <w:bottom w:val="nil"/>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 xml:space="preserve">Certain similarity in functionality and commonality of some parameters (i.e. for an individual </w:t>
            </w:r>
            <w:proofErr w:type="gramStart"/>
            <w:r w:rsidRPr="004A1419">
              <w:rPr>
                <w:rFonts w:ascii="Arial" w:hAnsi="Arial" w:cs="Arial"/>
                <w:sz w:val="18"/>
              </w:rPr>
              <w:t>UE‘</w:t>
            </w:r>
            <w:proofErr w:type="gramEnd"/>
            <w:r w:rsidRPr="004A1419">
              <w:rPr>
                <w:rFonts w:ascii="Arial" w:hAnsi="Arial" w:cs="Arial"/>
                <w:sz w:val="18"/>
              </w:rPr>
              <w:t>s PDU Session QoS and QoS monitoring is controlled)</w:t>
            </w:r>
          </w:p>
        </w:tc>
      </w:tr>
      <w:tr w:rsidR="00DC32F1" w:rsidRPr="004A1419" w:rsidTr="00DC32F1">
        <w:trPr>
          <w:trHeight w:val="629"/>
        </w:trPr>
        <w:tc>
          <w:tcPr>
            <w:tcW w:w="522"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Specifics</w:t>
            </w:r>
          </w:p>
        </w:tc>
        <w:tc>
          <w:tcPr>
            <w:tcW w:w="727"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Traffic characteristics, Temporal invalidity,</w:t>
            </w:r>
            <w:r w:rsidRPr="004A1419">
              <w:rPr>
                <w:rFonts w:ascii="Arial" w:hAnsi="Arial" w:cs="Arial"/>
                <w:sz w:val="18"/>
                <w:lang w:val="de-DE"/>
              </w:rPr>
              <w:t xml:space="preserve"> Group Data Rate</w:t>
            </w:r>
          </w:p>
        </w:tc>
        <w:tc>
          <w:tcPr>
            <w:tcW w:w="847"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Consolidated bitrate monitoring</w:t>
            </w:r>
          </w:p>
        </w:tc>
        <w:tc>
          <w:tcPr>
            <w:tcW w:w="729" w:type="pct"/>
            <w:tcBorders>
              <w:top w:val="nil"/>
              <w:left w:val="single" w:sz="8" w:space="0" w:color="000000"/>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XRM support, TSC parameters etc.</w:t>
            </w:r>
          </w:p>
        </w:tc>
        <w:tc>
          <w:tcPr>
            <w:tcW w:w="729"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UE related parameters</w:t>
            </w:r>
          </w:p>
        </w:tc>
        <w:tc>
          <w:tcPr>
            <w:tcW w:w="727" w:type="pct"/>
            <w:tcBorders>
              <w:top w:val="nil"/>
              <w:left w:val="nil"/>
              <w:bottom w:val="nil"/>
              <w:right w:val="nil"/>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Service specific parameters</w:t>
            </w:r>
          </w:p>
        </w:tc>
        <w:tc>
          <w:tcPr>
            <w:tcW w:w="720" w:type="pct"/>
            <w:tcBorders>
              <w:top w:val="nil"/>
              <w:left w:val="nil"/>
              <w:bottom w:val="nil"/>
              <w:right w:val="single" w:sz="8" w:space="0" w:color="000000"/>
            </w:tcBorders>
            <w:shd w:val="clear" w:color="auto" w:fill="auto"/>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Traffic routing parameters</w:t>
            </w:r>
          </w:p>
        </w:tc>
      </w:tr>
      <w:tr w:rsidR="00DC32F1" w:rsidRPr="004A1419" w:rsidTr="004A1419">
        <w:trPr>
          <w:trHeight w:val="50"/>
        </w:trPr>
        <w:tc>
          <w:tcPr>
            <w:tcW w:w="522" w:type="pct"/>
            <w:tcBorders>
              <w:top w:val="nil"/>
              <w:left w:val="nil"/>
              <w:bottom w:val="single" w:sz="8" w:space="0" w:color="000000"/>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b/>
                <w:bCs/>
                <w:sz w:val="18"/>
              </w:rPr>
              <w:t>Summary</w:t>
            </w:r>
          </w:p>
        </w:tc>
        <w:tc>
          <w:tcPr>
            <w:tcW w:w="1574" w:type="pct"/>
            <w:gridSpan w:val="2"/>
            <w:tcBorders>
              <w:top w:val="nil"/>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Straightforward for different area application developers, simple and clear specification</w:t>
            </w:r>
          </w:p>
        </w:tc>
        <w:tc>
          <w:tcPr>
            <w:tcW w:w="2904" w:type="pct"/>
            <w:gridSpan w:val="4"/>
            <w:tcBorders>
              <w:top w:val="nil"/>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C32F1" w:rsidRPr="004A1419" w:rsidRDefault="00DC32F1" w:rsidP="00DC32F1">
            <w:pPr>
              <w:rPr>
                <w:rFonts w:ascii="Arial" w:hAnsi="Arial" w:cs="Arial"/>
                <w:sz w:val="18"/>
              </w:rPr>
            </w:pPr>
            <w:r w:rsidRPr="004A1419">
              <w:rPr>
                <w:rFonts w:ascii="Arial" w:hAnsi="Arial" w:cs="Arial"/>
                <w:sz w:val="18"/>
              </w:rPr>
              <w:t>Integrated NEF functionalities applicable to all different applications, NEF needs validation of the correctness for parameter combos for a given application and invoke different backend procedures accordingly, every developer has to learn all the parameters or procedures even none of their interest, complex specification mixed of different features and use cases and this becomes worse in future evolution of the API when even more scenario specific functionality and parameters have to be supported</w:t>
            </w:r>
          </w:p>
        </w:tc>
      </w:tr>
    </w:tbl>
    <w:p w:rsidR="008E0068" w:rsidRPr="00DC32F1" w:rsidRDefault="008E0068" w:rsidP="008E0068">
      <w:pPr>
        <w:rPr>
          <w:rFonts w:ascii="Arial" w:hAnsi="Arial" w:cs="Arial"/>
        </w:rPr>
      </w:pP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1159EA">
        <w:rPr>
          <w:rFonts w:ascii="Arial" w:hAnsi="Arial" w:cs="Arial"/>
          <w:b/>
        </w:rPr>
        <w:t xml:space="preserve">To </w:t>
      </w:r>
      <w:r w:rsidR="001159EA" w:rsidRPr="001159EA">
        <w:rPr>
          <w:rFonts w:ascii="Arial" w:hAnsi="Arial" w:cs="Arial"/>
          <w:b/>
          <w:color w:val="000000"/>
        </w:rPr>
        <w:t>CT3</w:t>
      </w:r>
      <w:r w:rsidRPr="001159EA">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1159EA">
        <w:rPr>
          <w:rFonts w:ascii="Arial" w:hAnsi="Arial" w:cs="Arial"/>
          <w:color w:val="000000"/>
        </w:rPr>
        <w:t>SA</w:t>
      </w:r>
      <w:r w:rsidR="006F1B00" w:rsidRPr="001159EA">
        <w:rPr>
          <w:rFonts w:ascii="Arial" w:hAnsi="Arial" w:cs="Arial"/>
          <w:color w:val="000000"/>
        </w:rPr>
        <w:t>2</w:t>
      </w:r>
      <w:r w:rsidRPr="001159EA">
        <w:rPr>
          <w:rFonts w:ascii="Arial" w:hAnsi="Arial" w:cs="Arial"/>
          <w:color w:val="000000"/>
        </w:rPr>
        <w:t xml:space="preserve"> asks </w:t>
      </w:r>
      <w:r w:rsidR="001159EA" w:rsidRPr="001159EA">
        <w:rPr>
          <w:rFonts w:ascii="Arial" w:hAnsi="Arial" w:cs="Arial"/>
          <w:color w:val="000000"/>
        </w:rPr>
        <w:t>CT3</w:t>
      </w:r>
      <w:r w:rsidR="006E17FC" w:rsidRPr="001159EA">
        <w:rPr>
          <w:rFonts w:ascii="Arial" w:hAnsi="Arial" w:cs="Arial"/>
          <w:color w:val="000000"/>
        </w:rPr>
        <w:t xml:space="preserve"> group to </w:t>
      </w:r>
      <w:r w:rsidR="00970259">
        <w:rPr>
          <w:rFonts w:ascii="Arial" w:hAnsi="Arial" w:cs="Arial"/>
          <w:color w:val="000000"/>
        </w:rPr>
        <w:t>take the above responses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AF57EF" w:rsidRDefault="00AF57EF" w:rsidP="00AF57EF">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#158</w:t>
      </w:r>
      <w:r>
        <w:rPr>
          <w:rFonts w:ascii="Arial" w:hAnsi="Arial" w:cs="Arial"/>
          <w:bCs/>
        </w:rPr>
        <w:tab/>
      </w:r>
      <w:r>
        <w:rPr>
          <w:rFonts w:ascii="Arial" w:hAnsi="Arial" w:cs="Arial"/>
          <w:bCs/>
        </w:rPr>
        <w:tab/>
        <w:t>August 21</w:t>
      </w:r>
      <w:r w:rsidRPr="00051868">
        <w:rPr>
          <w:rFonts w:ascii="Arial" w:hAnsi="Arial" w:cs="Arial"/>
          <w:bCs/>
        </w:rPr>
        <w:t xml:space="preserve"> – </w:t>
      </w:r>
      <w:r>
        <w:rPr>
          <w:rFonts w:ascii="Arial" w:hAnsi="Arial" w:cs="Arial"/>
          <w:bCs/>
        </w:rPr>
        <w:t>25, 2023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Goteborg</w:t>
      </w:r>
      <w:r w:rsidR="000A1FC4">
        <w:rPr>
          <w:rFonts w:ascii="Arial" w:hAnsi="Arial" w:cs="Arial"/>
          <w:bCs/>
        </w:rPr>
        <w:t>, SE</w:t>
      </w:r>
    </w:p>
    <w:p w:rsidR="00A30AD8" w:rsidRDefault="00A30AD8" w:rsidP="00A30AD8">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w:t>
      </w:r>
      <w:r w:rsidR="00543001">
        <w:rPr>
          <w:rFonts w:ascii="Arial" w:hAnsi="Arial" w:cs="Arial"/>
          <w:bCs/>
        </w:rPr>
        <w:t>9</w:t>
      </w:r>
      <w:r>
        <w:rPr>
          <w:rFonts w:ascii="Arial" w:hAnsi="Arial" w:cs="Arial"/>
          <w:bCs/>
        </w:rPr>
        <w:tab/>
      </w:r>
      <w:r>
        <w:rPr>
          <w:rFonts w:ascii="Arial" w:hAnsi="Arial" w:cs="Arial"/>
          <w:bCs/>
        </w:rPr>
        <w:tab/>
      </w:r>
      <w:r w:rsidR="00543001">
        <w:rPr>
          <w:rFonts w:ascii="Arial" w:hAnsi="Arial" w:cs="Arial"/>
          <w:bCs/>
        </w:rPr>
        <w:t>October</w:t>
      </w:r>
      <w:r>
        <w:rPr>
          <w:rFonts w:ascii="Arial" w:hAnsi="Arial" w:cs="Arial"/>
          <w:bCs/>
        </w:rPr>
        <w:t xml:space="preserve"> </w:t>
      </w:r>
      <w:r w:rsidR="00543001">
        <w:rPr>
          <w:rFonts w:ascii="Arial" w:hAnsi="Arial" w:cs="Arial"/>
          <w:bCs/>
        </w:rPr>
        <w:t>09</w:t>
      </w:r>
      <w:r w:rsidRPr="00051868">
        <w:rPr>
          <w:rFonts w:ascii="Arial" w:hAnsi="Arial" w:cs="Arial"/>
          <w:bCs/>
        </w:rPr>
        <w:t xml:space="preserve"> – </w:t>
      </w:r>
      <w:r w:rsidR="00543001">
        <w:rPr>
          <w:rFonts w:ascii="Arial" w:hAnsi="Arial" w:cs="Arial"/>
          <w:bCs/>
        </w:rPr>
        <w:t>13</w:t>
      </w:r>
      <w:r>
        <w:rPr>
          <w:rFonts w:ascii="Arial" w:hAnsi="Arial" w:cs="Arial"/>
          <w:bCs/>
        </w:rPr>
        <w:t>, 2023</w:t>
      </w:r>
      <w:r w:rsidRPr="00051868">
        <w:rPr>
          <w:rFonts w:ascii="Arial" w:hAnsi="Arial" w:cs="Arial"/>
          <w:bCs/>
        </w:rPr>
        <w:tab/>
      </w:r>
      <w:r w:rsidRPr="00051868">
        <w:rPr>
          <w:rFonts w:ascii="Arial" w:hAnsi="Arial" w:cs="Arial"/>
          <w:bCs/>
        </w:rPr>
        <w:tab/>
      </w:r>
      <w:r w:rsidRPr="00051868">
        <w:rPr>
          <w:rFonts w:ascii="Arial" w:hAnsi="Arial" w:cs="Arial"/>
          <w:bCs/>
        </w:rPr>
        <w:tab/>
      </w:r>
      <w:r w:rsidR="00543001" w:rsidRPr="00543001">
        <w:rPr>
          <w:rFonts w:ascii="Arial" w:hAnsi="Arial" w:cs="Arial"/>
          <w:bCs/>
        </w:rPr>
        <w:t>Xiamen</w:t>
      </w:r>
      <w:r>
        <w:rPr>
          <w:rFonts w:ascii="Arial" w:hAnsi="Arial" w:cs="Arial"/>
          <w:bCs/>
        </w:rPr>
        <w:t xml:space="preserve">, </w:t>
      </w:r>
      <w:r w:rsidR="00543001">
        <w:rPr>
          <w:rFonts w:ascii="Arial" w:hAnsi="Arial" w:cs="Arial"/>
          <w:bCs/>
        </w:rPr>
        <w:t>CN</w:t>
      </w:r>
    </w:p>
    <w:p w:rsidR="00463675" w:rsidRPr="00A30AD8" w:rsidRDefault="00463675" w:rsidP="00D812DC">
      <w:pPr>
        <w:tabs>
          <w:tab w:val="left" w:pos="4050"/>
        </w:tabs>
        <w:spacing w:after="120"/>
        <w:rPr>
          <w:rFonts w:ascii="Arial" w:hAnsi="Arial" w:cs="Arial"/>
          <w:bCs/>
        </w:rPr>
      </w:pPr>
    </w:p>
    <w:sectPr w:rsidR="00463675" w:rsidRPr="00A30AD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711C" w:rsidRDefault="0041711C">
      <w:r>
        <w:separator/>
      </w:r>
    </w:p>
  </w:endnote>
  <w:endnote w:type="continuationSeparator" w:id="0">
    <w:p w:rsidR="0041711C" w:rsidRDefault="0041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711C" w:rsidRDefault="0041711C">
      <w:r>
        <w:separator/>
      </w:r>
    </w:p>
  </w:footnote>
  <w:footnote w:type="continuationSeparator" w:id="0">
    <w:p w:rsidR="0041711C" w:rsidRDefault="00417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B54C2A"/>
    <w:multiLevelType w:val="hybridMultilevel"/>
    <w:tmpl w:val="45C2AE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DE007E0"/>
    <w:multiLevelType w:val="hybridMultilevel"/>
    <w:tmpl w:val="7188E1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6BEA"/>
    <w:rsid w:val="00030AAE"/>
    <w:rsid w:val="00051868"/>
    <w:rsid w:val="000534DD"/>
    <w:rsid w:val="000750C0"/>
    <w:rsid w:val="00076BB0"/>
    <w:rsid w:val="000A1FC4"/>
    <w:rsid w:val="000E7FEC"/>
    <w:rsid w:val="000F08AB"/>
    <w:rsid w:val="000F4E43"/>
    <w:rsid w:val="00101DC4"/>
    <w:rsid w:val="001159EA"/>
    <w:rsid w:val="00130D6F"/>
    <w:rsid w:val="001404A4"/>
    <w:rsid w:val="00144B78"/>
    <w:rsid w:val="00170503"/>
    <w:rsid w:val="00175A43"/>
    <w:rsid w:val="00175C86"/>
    <w:rsid w:val="0019277B"/>
    <w:rsid w:val="001A31C6"/>
    <w:rsid w:val="001B7D46"/>
    <w:rsid w:val="001C1B1A"/>
    <w:rsid w:val="001C25DA"/>
    <w:rsid w:val="001D71CA"/>
    <w:rsid w:val="001E4A9F"/>
    <w:rsid w:val="0022103D"/>
    <w:rsid w:val="002218E9"/>
    <w:rsid w:val="00223ED5"/>
    <w:rsid w:val="00243599"/>
    <w:rsid w:val="00246B9C"/>
    <w:rsid w:val="00263950"/>
    <w:rsid w:val="00264A7F"/>
    <w:rsid w:val="002B0814"/>
    <w:rsid w:val="002B149A"/>
    <w:rsid w:val="002B4872"/>
    <w:rsid w:val="003007F7"/>
    <w:rsid w:val="00305AD7"/>
    <w:rsid w:val="00324937"/>
    <w:rsid w:val="00344778"/>
    <w:rsid w:val="003801B5"/>
    <w:rsid w:val="003856A3"/>
    <w:rsid w:val="00387EBE"/>
    <w:rsid w:val="003A0F66"/>
    <w:rsid w:val="003C6ED3"/>
    <w:rsid w:val="003D2B32"/>
    <w:rsid w:val="003D4891"/>
    <w:rsid w:val="003D516B"/>
    <w:rsid w:val="003F1B89"/>
    <w:rsid w:val="00416573"/>
    <w:rsid w:val="0041711C"/>
    <w:rsid w:val="004330B0"/>
    <w:rsid w:val="004364DB"/>
    <w:rsid w:val="0045420C"/>
    <w:rsid w:val="00463675"/>
    <w:rsid w:val="004727C2"/>
    <w:rsid w:val="00477B8F"/>
    <w:rsid w:val="00481132"/>
    <w:rsid w:val="00484958"/>
    <w:rsid w:val="00485E0B"/>
    <w:rsid w:val="0049341F"/>
    <w:rsid w:val="004A1419"/>
    <w:rsid w:val="004A31B6"/>
    <w:rsid w:val="004B35B0"/>
    <w:rsid w:val="004C6AB0"/>
    <w:rsid w:val="004E15BE"/>
    <w:rsid w:val="004E3085"/>
    <w:rsid w:val="004E592D"/>
    <w:rsid w:val="004E7F6A"/>
    <w:rsid w:val="004F4A64"/>
    <w:rsid w:val="00543001"/>
    <w:rsid w:val="00574CB5"/>
    <w:rsid w:val="00584B08"/>
    <w:rsid w:val="00586194"/>
    <w:rsid w:val="005918EF"/>
    <w:rsid w:val="00595688"/>
    <w:rsid w:val="005A00EA"/>
    <w:rsid w:val="005C38C8"/>
    <w:rsid w:val="005D0039"/>
    <w:rsid w:val="00600780"/>
    <w:rsid w:val="00611C47"/>
    <w:rsid w:val="006612FD"/>
    <w:rsid w:val="006759EE"/>
    <w:rsid w:val="00682768"/>
    <w:rsid w:val="0068684D"/>
    <w:rsid w:val="00686C29"/>
    <w:rsid w:val="00693898"/>
    <w:rsid w:val="006973B1"/>
    <w:rsid w:val="006B389A"/>
    <w:rsid w:val="006C19CD"/>
    <w:rsid w:val="006C5B43"/>
    <w:rsid w:val="006D0D25"/>
    <w:rsid w:val="006E17FC"/>
    <w:rsid w:val="006E208A"/>
    <w:rsid w:val="006E2D9F"/>
    <w:rsid w:val="006E783C"/>
    <w:rsid w:val="006F1B00"/>
    <w:rsid w:val="00706625"/>
    <w:rsid w:val="007173A8"/>
    <w:rsid w:val="00726FC3"/>
    <w:rsid w:val="00740046"/>
    <w:rsid w:val="00741C17"/>
    <w:rsid w:val="0074309D"/>
    <w:rsid w:val="00750CAD"/>
    <w:rsid w:val="00750FCB"/>
    <w:rsid w:val="00751B6F"/>
    <w:rsid w:val="00752AD3"/>
    <w:rsid w:val="0076677F"/>
    <w:rsid w:val="007A1FE0"/>
    <w:rsid w:val="007E2F26"/>
    <w:rsid w:val="007F3EE4"/>
    <w:rsid w:val="00827222"/>
    <w:rsid w:val="008309C9"/>
    <w:rsid w:val="00834BD7"/>
    <w:rsid w:val="0084049C"/>
    <w:rsid w:val="008410A0"/>
    <w:rsid w:val="00841710"/>
    <w:rsid w:val="00844354"/>
    <w:rsid w:val="0085215B"/>
    <w:rsid w:val="00854847"/>
    <w:rsid w:val="00861485"/>
    <w:rsid w:val="0086711C"/>
    <w:rsid w:val="00892980"/>
    <w:rsid w:val="00895E01"/>
    <w:rsid w:val="008B2BBD"/>
    <w:rsid w:val="008C2107"/>
    <w:rsid w:val="008D6007"/>
    <w:rsid w:val="008E0068"/>
    <w:rsid w:val="008E238B"/>
    <w:rsid w:val="008F1776"/>
    <w:rsid w:val="00906004"/>
    <w:rsid w:val="00907117"/>
    <w:rsid w:val="00923E7C"/>
    <w:rsid w:val="00961FC4"/>
    <w:rsid w:val="00970259"/>
    <w:rsid w:val="00974131"/>
    <w:rsid w:val="00996DAA"/>
    <w:rsid w:val="009B265F"/>
    <w:rsid w:val="009B349E"/>
    <w:rsid w:val="009D4F3B"/>
    <w:rsid w:val="009E5C6F"/>
    <w:rsid w:val="009E709E"/>
    <w:rsid w:val="009F76A3"/>
    <w:rsid w:val="00A07FCE"/>
    <w:rsid w:val="00A30AD8"/>
    <w:rsid w:val="00A40CCC"/>
    <w:rsid w:val="00A441B5"/>
    <w:rsid w:val="00A44E95"/>
    <w:rsid w:val="00A80196"/>
    <w:rsid w:val="00A96015"/>
    <w:rsid w:val="00A97246"/>
    <w:rsid w:val="00AA3F43"/>
    <w:rsid w:val="00AB6EC3"/>
    <w:rsid w:val="00AC6962"/>
    <w:rsid w:val="00AD258A"/>
    <w:rsid w:val="00AE0174"/>
    <w:rsid w:val="00AE1BD2"/>
    <w:rsid w:val="00AE49A7"/>
    <w:rsid w:val="00AF57EF"/>
    <w:rsid w:val="00AF5D18"/>
    <w:rsid w:val="00B10016"/>
    <w:rsid w:val="00B31FE9"/>
    <w:rsid w:val="00B517D4"/>
    <w:rsid w:val="00B76927"/>
    <w:rsid w:val="00B81AA1"/>
    <w:rsid w:val="00B86523"/>
    <w:rsid w:val="00BB2795"/>
    <w:rsid w:val="00BB77FB"/>
    <w:rsid w:val="00BD6962"/>
    <w:rsid w:val="00BD727C"/>
    <w:rsid w:val="00C050F1"/>
    <w:rsid w:val="00C21429"/>
    <w:rsid w:val="00C25B1D"/>
    <w:rsid w:val="00C33343"/>
    <w:rsid w:val="00C4081E"/>
    <w:rsid w:val="00C47105"/>
    <w:rsid w:val="00C55D6B"/>
    <w:rsid w:val="00C66EB9"/>
    <w:rsid w:val="00C817B0"/>
    <w:rsid w:val="00C831C8"/>
    <w:rsid w:val="00C852B5"/>
    <w:rsid w:val="00C9202D"/>
    <w:rsid w:val="00CA6FCD"/>
    <w:rsid w:val="00CB666D"/>
    <w:rsid w:val="00CD5418"/>
    <w:rsid w:val="00CE15C4"/>
    <w:rsid w:val="00CF1040"/>
    <w:rsid w:val="00D03F4E"/>
    <w:rsid w:val="00D144BC"/>
    <w:rsid w:val="00D1595C"/>
    <w:rsid w:val="00D21671"/>
    <w:rsid w:val="00D25807"/>
    <w:rsid w:val="00D43F53"/>
    <w:rsid w:val="00D5113A"/>
    <w:rsid w:val="00D60729"/>
    <w:rsid w:val="00D812DC"/>
    <w:rsid w:val="00D92AD1"/>
    <w:rsid w:val="00DA61BB"/>
    <w:rsid w:val="00DA75CA"/>
    <w:rsid w:val="00DC32F1"/>
    <w:rsid w:val="00DD788E"/>
    <w:rsid w:val="00DE24B5"/>
    <w:rsid w:val="00DF184D"/>
    <w:rsid w:val="00E11562"/>
    <w:rsid w:val="00E4038D"/>
    <w:rsid w:val="00E74294"/>
    <w:rsid w:val="00E87510"/>
    <w:rsid w:val="00EB55AD"/>
    <w:rsid w:val="00EC13E9"/>
    <w:rsid w:val="00ED0733"/>
    <w:rsid w:val="00EE3074"/>
    <w:rsid w:val="00F248C0"/>
    <w:rsid w:val="00F25264"/>
    <w:rsid w:val="00F330DA"/>
    <w:rsid w:val="00F37397"/>
    <w:rsid w:val="00F508E2"/>
    <w:rsid w:val="00F62570"/>
    <w:rsid w:val="00F6392F"/>
    <w:rsid w:val="00F7082B"/>
    <w:rsid w:val="00F71E4B"/>
    <w:rsid w:val="00F73077"/>
    <w:rsid w:val="00F810BA"/>
    <w:rsid w:val="00FB0D38"/>
    <w:rsid w:val="00FC2A0F"/>
    <w:rsid w:val="00FE3207"/>
    <w:rsid w:val="00FE736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5807"/>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f1">
    <w:name w:val="Table Grid"/>
    <w:basedOn w:val="a1"/>
    <w:uiPriority w:val="59"/>
    <w:rsid w:val="00D14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0750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511886">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10549850">
      <w:bodyDiv w:val="1"/>
      <w:marLeft w:val="0"/>
      <w:marRight w:val="0"/>
      <w:marTop w:val="0"/>
      <w:marBottom w:val="0"/>
      <w:divBdr>
        <w:top w:val="none" w:sz="0" w:space="0" w:color="auto"/>
        <w:left w:val="none" w:sz="0" w:space="0" w:color="auto"/>
        <w:bottom w:val="none" w:sz="0" w:space="0" w:color="auto"/>
        <w:right w:val="none" w:sz="0" w:space="0" w:color="auto"/>
      </w:divBdr>
    </w:div>
    <w:div w:id="789128367">
      <w:bodyDiv w:val="1"/>
      <w:marLeft w:val="0"/>
      <w:marRight w:val="0"/>
      <w:marTop w:val="0"/>
      <w:marBottom w:val="0"/>
      <w:divBdr>
        <w:top w:val="none" w:sz="0" w:space="0" w:color="auto"/>
        <w:left w:val="none" w:sz="0" w:space="0" w:color="auto"/>
        <w:bottom w:val="none" w:sz="0" w:space="0" w:color="auto"/>
        <w:right w:val="none" w:sz="0" w:space="0" w:color="auto"/>
      </w:divBdr>
    </w:div>
    <w:div w:id="1203858437">
      <w:bodyDiv w:val="1"/>
      <w:marLeft w:val="0"/>
      <w:marRight w:val="0"/>
      <w:marTop w:val="0"/>
      <w:marBottom w:val="0"/>
      <w:divBdr>
        <w:top w:val="none" w:sz="0" w:space="0" w:color="auto"/>
        <w:left w:val="none" w:sz="0" w:space="0" w:color="auto"/>
        <w:bottom w:val="none" w:sz="0" w:space="0" w:color="auto"/>
        <w:right w:val="none" w:sz="0" w:space="0" w:color="auto"/>
      </w:divBdr>
    </w:div>
    <w:div w:id="1688293118">
      <w:bodyDiv w:val="1"/>
      <w:marLeft w:val="0"/>
      <w:marRight w:val="0"/>
      <w:marTop w:val="0"/>
      <w:marBottom w:val="0"/>
      <w:divBdr>
        <w:top w:val="none" w:sz="0" w:space="0" w:color="auto"/>
        <w:left w:val="none" w:sz="0" w:space="0" w:color="auto"/>
        <w:bottom w:val="none" w:sz="0" w:space="0" w:color="auto"/>
        <w:right w:val="none" w:sz="0" w:space="0" w:color="auto"/>
      </w:divBdr>
    </w:div>
    <w:div w:id="1920795707">
      <w:bodyDiv w:val="1"/>
      <w:marLeft w:val="0"/>
      <w:marRight w:val="0"/>
      <w:marTop w:val="0"/>
      <w:marBottom w:val="0"/>
      <w:divBdr>
        <w:top w:val="none" w:sz="0" w:space="0" w:color="auto"/>
        <w:left w:val="none" w:sz="0" w:space="0" w:color="auto"/>
        <w:bottom w:val="none" w:sz="0" w:space="0" w:color="auto"/>
        <w:right w:val="none" w:sz="0" w:space="0" w:color="auto"/>
      </w:divBdr>
    </w:div>
    <w:div w:id="1959674249">
      <w:bodyDiv w:val="1"/>
      <w:marLeft w:val="0"/>
      <w:marRight w:val="0"/>
      <w:marTop w:val="0"/>
      <w:marBottom w:val="0"/>
      <w:divBdr>
        <w:top w:val="none" w:sz="0" w:space="0" w:color="auto"/>
        <w:left w:val="none" w:sz="0" w:space="0" w:color="auto"/>
        <w:bottom w:val="none" w:sz="0" w:space="0" w:color="auto"/>
        <w:right w:val="none" w:sz="0" w:space="0" w:color="auto"/>
      </w:divBdr>
    </w:div>
    <w:div w:id="2072728089">
      <w:bodyDiv w:val="1"/>
      <w:marLeft w:val="0"/>
      <w:marRight w:val="0"/>
      <w:marTop w:val="0"/>
      <w:marBottom w:val="0"/>
      <w:divBdr>
        <w:top w:val="none" w:sz="0" w:space="0" w:color="auto"/>
        <w:left w:val="none" w:sz="0" w:space="0" w:color="auto"/>
        <w:bottom w:val="none" w:sz="0" w:space="0" w:color="auto"/>
        <w:right w:val="none" w:sz="0" w:space="0" w:color="auto"/>
      </w:divBdr>
      <w:divsChild>
        <w:div w:id="141127397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5CA2B-548A-4C75-8CE3-0A53EA57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103</cp:revision>
  <cp:lastPrinted>2002-04-23T08:10:00Z</cp:lastPrinted>
  <dcterms:created xsi:type="dcterms:W3CDTF">2020-03-09T10:11:00Z</dcterms:created>
  <dcterms:modified xsi:type="dcterms:W3CDTF">2023-05-12T13:48:00Z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(3)u43hZOBbFQnq0w27/DCZkpSQ/T8oB2PgeXMaPDhZnmuvgwmAsOAwKd/1cEmZJ5Obj2adRqxQ
vdM/nJsfBhSp3QM1VvrIEMULM4nMPu0+46S567EOo4FZ5odRBBQGCl+yI2ljxWHrUMOCDM2/
Qvb8C+IcqctCPQJfRMFRaXOHCgbewmS9LDJiDw9ggWyty/JkdQANxWRrG6tbt3EthRT74ISY
Z7r/NvyS3vXGfzpJPe</vt:lpwstr>
  </property>
  <property fmtid="{D5CDD505-2E9C-101B-9397-08002B2CF9AE}" pid="3" name="_2015_ms_pID_7253431">
    <vt:lpwstr>Ro/ykbi+csUy92x4ldHH45vJcXP8/EDiS3XJ5sq0JgF3bPuS3ciyd2
B7OmR3jdBJsXla4yhazZppQ7ujd/dUQ7XWcmcTdbWysbghGJBHUwpFJ84fr/rv42onNVXzYR
38nWP6pC4HGMVbFL5/Q278b7G4HxSz4m7NeU1tgCYo4PcfvhpXC4Fk5QuHP8EIeTepbm2NOp
wfGtfWUkf8XIHnhD0fapM2vJNZX34RKTOK+P</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